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010CE" w14:textId="03E3C7DC" w:rsidR="008A0B6E" w:rsidRPr="008A0B6E" w:rsidRDefault="008A0B6E" w:rsidP="008A0B6E">
      <w:pPr>
        <w:keepNext/>
        <w:pageBreakBefore/>
        <w:jc w:val="center"/>
        <w:outlineLvl w:val="0"/>
        <w:rPr>
          <w:rFonts w:ascii="Calibri" w:hAnsi="Calibri" w:cs="Calibri"/>
          <w:b/>
          <w:bCs/>
          <w:sz w:val="36"/>
        </w:rPr>
      </w:pPr>
      <w:bookmarkStart w:id="0" w:name="_Toc202863373"/>
      <w:bookmarkStart w:id="1" w:name="_Hlk106806930"/>
      <w:r w:rsidRPr="008A0B6E">
        <w:rPr>
          <w:rFonts w:ascii="Calibri" w:hAnsi="Calibri" w:cs="Calibri"/>
          <w:b/>
          <w:bCs/>
          <w:sz w:val="36"/>
        </w:rPr>
        <w:t xml:space="preserve">Children’s Well-being in the Nursery Policy </w:t>
      </w:r>
      <w:bookmarkEnd w:id="0"/>
    </w:p>
    <w:p w14:paraId="4831A85F" w14:textId="77777777" w:rsidR="008A0B6E" w:rsidRPr="008A0B6E" w:rsidRDefault="008A0B6E" w:rsidP="008A0B6E">
      <w:pPr>
        <w:jc w:val="both"/>
        <w:rPr>
          <w:rFonts w:ascii="Calibri" w:hAnsi="Calibri" w:cs="Calibri"/>
        </w:rPr>
      </w:pPr>
    </w:p>
    <w:p w14:paraId="27124D33" w14:textId="77777777" w:rsidR="008A0B6E" w:rsidRPr="008A0B6E" w:rsidRDefault="008A0B6E" w:rsidP="008A0B6E">
      <w:pPr>
        <w:jc w:val="both"/>
        <w:rPr>
          <w:rFonts w:ascii="Calibri" w:hAnsi="Calibri" w:cs="Calibri"/>
        </w:rPr>
      </w:pPr>
    </w:p>
    <w:p w14:paraId="04286889" w14:textId="77777777" w:rsidR="008A0B6E" w:rsidRPr="008A0B6E" w:rsidRDefault="008A0B6E" w:rsidP="008A0B6E">
      <w:pPr>
        <w:jc w:val="both"/>
        <w:rPr>
          <w:rFonts w:ascii="Calibri" w:hAnsi="Calibri" w:cs="Calibri"/>
        </w:rPr>
      </w:pPr>
      <w:r w:rsidRPr="008A0B6E">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1D3EFC6E" w14:textId="77777777" w:rsidR="008A0B6E" w:rsidRPr="008A0B6E" w:rsidRDefault="008A0B6E" w:rsidP="008A0B6E">
      <w:pPr>
        <w:jc w:val="both"/>
        <w:rPr>
          <w:rFonts w:ascii="Calibri" w:hAnsi="Calibri" w:cs="Calibri"/>
        </w:rPr>
      </w:pPr>
    </w:p>
    <w:p w14:paraId="1466C555" w14:textId="77777777" w:rsidR="008A0B6E" w:rsidRPr="008A0B6E" w:rsidRDefault="008A0B6E" w:rsidP="008A0B6E">
      <w:pPr>
        <w:tabs>
          <w:tab w:val="left" w:pos="951"/>
        </w:tabs>
        <w:jc w:val="both"/>
        <w:rPr>
          <w:rFonts w:ascii="Calibri" w:eastAsia="MS Mincho" w:hAnsi="Calibri" w:cs="Calibri"/>
          <w:szCs w:val="20"/>
        </w:rPr>
      </w:pPr>
      <w:r w:rsidRPr="008A0B6E">
        <w:rPr>
          <w:rFonts w:ascii="Calibri" w:eastAsia="MS Mincho" w:hAnsi="Calibri" w:cs="Calibri"/>
          <w:bCs/>
          <w:szCs w:val="20"/>
        </w:rPr>
        <w:t xml:space="preserve">Physical well-being covers everything physical to do with the body: </w:t>
      </w:r>
    </w:p>
    <w:p w14:paraId="45ACF84A"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Growth and development</w:t>
      </w:r>
    </w:p>
    <w:p w14:paraId="17BE0162"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Moving and keeping physically fit</w:t>
      </w:r>
    </w:p>
    <w:p w14:paraId="6F47BF8D"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Caring for personal health (</w:t>
      </w:r>
      <w:proofErr w:type="gramStart"/>
      <w:r w:rsidRPr="008A0B6E">
        <w:rPr>
          <w:rFonts w:ascii="Calibri" w:eastAsia="MS Mincho" w:hAnsi="Calibri" w:cs="Calibri"/>
          <w:bCs/>
          <w:szCs w:val="20"/>
        </w:rPr>
        <w:t>e.g.</w:t>
      </w:r>
      <w:proofErr w:type="gramEnd"/>
      <w:r w:rsidRPr="008A0B6E">
        <w:rPr>
          <w:rFonts w:ascii="Calibri" w:eastAsia="MS Mincho" w:hAnsi="Calibri" w:cs="Calibri"/>
          <w:bCs/>
          <w:szCs w:val="20"/>
        </w:rPr>
        <w:t xml:space="preserve"> washing, cleaning teeth, etc.)</w:t>
      </w:r>
    </w:p>
    <w:p w14:paraId="2E8C71D8"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Eating a balanced and nutritious diet</w:t>
      </w:r>
    </w:p>
    <w:p w14:paraId="5CF83B6A" w14:textId="77777777" w:rsidR="008A0B6E" w:rsidRPr="008A0B6E" w:rsidRDefault="008A0B6E" w:rsidP="008A0B6E">
      <w:pPr>
        <w:numPr>
          <w:ilvl w:val="0"/>
          <w:numId w:val="27"/>
        </w:numPr>
        <w:tabs>
          <w:tab w:val="left" w:pos="951"/>
        </w:tabs>
        <w:contextualSpacing/>
        <w:jc w:val="both"/>
        <w:rPr>
          <w:rFonts w:ascii="Calibri" w:eastAsia="MS Mincho" w:hAnsi="Calibri" w:cs="Calibri"/>
          <w:szCs w:val="20"/>
        </w:rPr>
      </w:pPr>
      <w:r w:rsidRPr="008A0B6E">
        <w:rPr>
          <w:rFonts w:ascii="Calibri" w:eastAsia="MS Mincho" w:hAnsi="Calibri" w:cs="Calibri"/>
          <w:bCs/>
          <w:szCs w:val="20"/>
        </w:rPr>
        <w:t xml:space="preserve">Rest and appropriate sleep patterns. </w:t>
      </w:r>
    </w:p>
    <w:p w14:paraId="3A0C4A71" w14:textId="77777777" w:rsidR="008A0B6E" w:rsidRPr="008A0B6E" w:rsidRDefault="008A0B6E" w:rsidP="008A0B6E">
      <w:pPr>
        <w:jc w:val="both"/>
        <w:rPr>
          <w:rFonts w:ascii="Calibri" w:hAnsi="Calibri" w:cs="Calibri"/>
        </w:rPr>
      </w:pPr>
    </w:p>
    <w:p w14:paraId="0490B156" w14:textId="77777777" w:rsidR="008A0B6E" w:rsidRPr="008A0B6E" w:rsidRDefault="008A0B6E" w:rsidP="008A0B6E">
      <w:pPr>
        <w:tabs>
          <w:tab w:val="left" w:pos="951"/>
        </w:tabs>
        <w:jc w:val="both"/>
        <w:rPr>
          <w:rFonts w:ascii="Calibri" w:hAnsi="Calibri" w:cs="Calibri"/>
        </w:rPr>
      </w:pPr>
      <w:r w:rsidRPr="008A0B6E">
        <w:rPr>
          <w:rFonts w:ascii="Calibri" w:hAnsi="Calibri" w:cs="Calibri"/>
          <w:bCs/>
        </w:rPr>
        <w:t xml:space="preserve">Mental and emotional well-being includes: </w:t>
      </w:r>
    </w:p>
    <w:p w14:paraId="3DEFF361" w14:textId="77777777" w:rsidR="008A0B6E" w:rsidRPr="008A0B6E" w:rsidRDefault="008A0B6E" w:rsidP="008A0B6E">
      <w:pPr>
        <w:numPr>
          <w:ilvl w:val="0"/>
          <w:numId w:val="26"/>
        </w:numPr>
        <w:tabs>
          <w:tab w:val="left" w:pos="951"/>
        </w:tabs>
        <w:contextualSpacing/>
        <w:jc w:val="both"/>
        <w:rPr>
          <w:rFonts w:ascii="Calibri" w:hAnsi="Calibri" w:cs="Calibri"/>
        </w:rPr>
      </w:pPr>
      <w:r w:rsidRPr="008A0B6E">
        <w:rPr>
          <w:rFonts w:ascii="Calibri" w:hAnsi="Calibri" w:cs="Calibri"/>
          <w:bCs/>
        </w:rPr>
        <w:t>Acknowledging, expressing and coping with feelings and emotions</w:t>
      </w:r>
    </w:p>
    <w:p w14:paraId="3958A07D" w14:textId="77777777" w:rsidR="008A0B6E" w:rsidRPr="008A0B6E" w:rsidRDefault="008A0B6E" w:rsidP="008A0B6E">
      <w:pPr>
        <w:numPr>
          <w:ilvl w:val="0"/>
          <w:numId w:val="26"/>
        </w:numPr>
        <w:tabs>
          <w:tab w:val="left" w:pos="951"/>
        </w:tabs>
        <w:contextualSpacing/>
        <w:jc w:val="both"/>
        <w:rPr>
          <w:rFonts w:ascii="Calibri" w:hAnsi="Calibri" w:cs="Calibri"/>
        </w:rPr>
      </w:pPr>
      <w:r w:rsidRPr="008A0B6E">
        <w:rPr>
          <w:rFonts w:ascii="Calibri" w:hAnsi="Calibri" w:cs="Calibri"/>
          <w:bCs/>
        </w:rPr>
        <w:t xml:space="preserve">Thought processes </w:t>
      </w:r>
    </w:p>
    <w:p w14:paraId="1811A37E" w14:textId="77777777" w:rsidR="008A0B6E" w:rsidRPr="008A0B6E" w:rsidRDefault="008A0B6E" w:rsidP="008A0B6E">
      <w:pPr>
        <w:numPr>
          <w:ilvl w:val="0"/>
          <w:numId w:val="26"/>
        </w:numPr>
        <w:tabs>
          <w:tab w:val="left" w:pos="951"/>
        </w:tabs>
        <w:contextualSpacing/>
        <w:jc w:val="both"/>
        <w:rPr>
          <w:rFonts w:ascii="Calibri" w:hAnsi="Calibri" w:cs="Calibri"/>
        </w:rPr>
      </w:pPr>
      <w:r w:rsidRPr="008A0B6E">
        <w:rPr>
          <w:rFonts w:ascii="Calibri" w:hAnsi="Calibri" w:cs="Calibri"/>
          <w:bCs/>
        </w:rPr>
        <w:t>Reducing stress and anxiety.</w:t>
      </w:r>
    </w:p>
    <w:p w14:paraId="77B9E892" w14:textId="77777777" w:rsidR="008A0B6E" w:rsidRPr="008A0B6E" w:rsidRDefault="008A0B6E" w:rsidP="008A0B6E">
      <w:pPr>
        <w:tabs>
          <w:tab w:val="left" w:pos="951"/>
        </w:tabs>
        <w:contextualSpacing/>
        <w:jc w:val="both"/>
        <w:rPr>
          <w:rFonts w:ascii="Calibri" w:hAnsi="Calibri" w:cs="Calibri"/>
          <w:bCs/>
        </w:rPr>
      </w:pPr>
    </w:p>
    <w:p w14:paraId="321C140A" w14:textId="77777777" w:rsidR="008A0B6E" w:rsidRPr="008A0B6E" w:rsidRDefault="008A0B6E" w:rsidP="008A0B6E">
      <w:pPr>
        <w:tabs>
          <w:tab w:val="left" w:pos="951"/>
        </w:tabs>
        <w:contextualSpacing/>
        <w:jc w:val="both"/>
        <w:rPr>
          <w:rFonts w:ascii="Calibri" w:hAnsi="Calibri" w:cs="Calibri"/>
          <w:bCs/>
        </w:rPr>
      </w:pPr>
      <w:r w:rsidRPr="008A0B6E">
        <w:rPr>
          <w:rFonts w:ascii="Calibri" w:hAnsi="Calibri" w:cs="Calibri"/>
          <w:bCs/>
        </w:rPr>
        <w:t xml:space="preserve">Social well-being includes: </w:t>
      </w:r>
    </w:p>
    <w:p w14:paraId="7A3985CB"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Relationships</w:t>
      </w:r>
    </w:p>
    <w:p w14:paraId="0BCEA580"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Family (close and extended)</w:t>
      </w:r>
    </w:p>
    <w:p w14:paraId="11AFD095"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Friends</w:t>
      </w:r>
    </w:p>
    <w:p w14:paraId="20E196A2"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 xml:space="preserve">The feeling of belonging and acceptance </w:t>
      </w:r>
    </w:p>
    <w:p w14:paraId="095C88AA" w14:textId="77777777" w:rsidR="008A0B6E" w:rsidRPr="008A0B6E" w:rsidRDefault="008A0B6E" w:rsidP="008A0B6E">
      <w:pPr>
        <w:numPr>
          <w:ilvl w:val="0"/>
          <w:numId w:val="28"/>
        </w:numPr>
        <w:tabs>
          <w:tab w:val="left" w:pos="951"/>
        </w:tabs>
        <w:contextualSpacing/>
        <w:jc w:val="both"/>
        <w:rPr>
          <w:rFonts w:ascii="Calibri" w:hAnsi="Calibri" w:cs="Calibri"/>
          <w:bCs/>
        </w:rPr>
      </w:pPr>
      <w:r w:rsidRPr="008A0B6E">
        <w:rPr>
          <w:rFonts w:ascii="Calibri" w:hAnsi="Calibri" w:cs="Calibri"/>
          <w:bCs/>
        </w:rPr>
        <w:t xml:space="preserve">Compassion and caring approaches. </w:t>
      </w:r>
    </w:p>
    <w:p w14:paraId="3DF3A3FF" w14:textId="77777777" w:rsidR="008A0B6E" w:rsidRPr="008A0B6E" w:rsidRDefault="008A0B6E" w:rsidP="008A0B6E">
      <w:pPr>
        <w:tabs>
          <w:tab w:val="left" w:pos="951"/>
        </w:tabs>
        <w:contextualSpacing/>
        <w:jc w:val="both"/>
        <w:rPr>
          <w:rFonts w:ascii="Calibri" w:hAnsi="Calibri" w:cs="Calibri"/>
        </w:rPr>
      </w:pPr>
    </w:p>
    <w:p w14:paraId="46E736FE" w14:textId="77777777" w:rsidR="008A0B6E" w:rsidRPr="008A0B6E" w:rsidRDefault="008A0B6E" w:rsidP="008A0B6E">
      <w:pPr>
        <w:tabs>
          <w:tab w:val="left" w:pos="951"/>
        </w:tabs>
        <w:contextualSpacing/>
        <w:jc w:val="both"/>
        <w:rPr>
          <w:rFonts w:ascii="Calibri" w:hAnsi="Calibri" w:cs="Calibri"/>
        </w:rPr>
      </w:pPr>
      <w:r w:rsidRPr="008A0B6E">
        <w:rPr>
          <w:rFonts w:ascii="Calibri" w:hAnsi="Calibri" w:cs="Calibri"/>
        </w:rPr>
        <w:t xml:space="preserve">Spiritual well-being can cover the following: </w:t>
      </w:r>
    </w:p>
    <w:p w14:paraId="2F358172" w14:textId="77777777" w:rsidR="008A0B6E" w:rsidRPr="008A0B6E" w:rsidRDefault="008A0B6E" w:rsidP="008A0B6E">
      <w:pPr>
        <w:numPr>
          <w:ilvl w:val="0"/>
          <w:numId w:val="29"/>
        </w:numPr>
        <w:tabs>
          <w:tab w:val="left" w:pos="951"/>
        </w:tabs>
        <w:contextualSpacing/>
        <w:jc w:val="both"/>
        <w:rPr>
          <w:rFonts w:ascii="Calibri" w:hAnsi="Calibri" w:cs="Calibri"/>
        </w:rPr>
      </w:pPr>
      <w:r w:rsidRPr="008A0B6E">
        <w:rPr>
          <w:rFonts w:ascii="Calibri" w:hAnsi="Calibri" w:cs="Calibri"/>
        </w:rPr>
        <w:t>Value and beliefs held</w:t>
      </w:r>
    </w:p>
    <w:p w14:paraId="32B3BDB8" w14:textId="77777777" w:rsidR="008A0B6E" w:rsidRPr="008A0B6E" w:rsidRDefault="008A0B6E" w:rsidP="008A0B6E">
      <w:pPr>
        <w:numPr>
          <w:ilvl w:val="0"/>
          <w:numId w:val="29"/>
        </w:numPr>
        <w:tabs>
          <w:tab w:val="left" w:pos="951"/>
        </w:tabs>
        <w:contextualSpacing/>
        <w:jc w:val="both"/>
        <w:rPr>
          <w:rFonts w:ascii="Calibri" w:hAnsi="Calibri" w:cs="Calibri"/>
        </w:rPr>
      </w:pPr>
      <w:r w:rsidRPr="008A0B6E">
        <w:rPr>
          <w:rFonts w:ascii="Calibri" w:hAnsi="Calibri" w:cs="Calibri"/>
        </w:rPr>
        <w:t>Personal identity and self-awareness.</w:t>
      </w:r>
    </w:p>
    <w:p w14:paraId="34820460" w14:textId="77777777" w:rsidR="008A0B6E" w:rsidRPr="008A0B6E" w:rsidRDefault="008A0B6E" w:rsidP="008A0B6E">
      <w:pPr>
        <w:tabs>
          <w:tab w:val="left" w:pos="951"/>
        </w:tabs>
        <w:spacing w:before="120" w:after="200"/>
        <w:contextualSpacing/>
        <w:jc w:val="both"/>
        <w:rPr>
          <w:rFonts w:ascii="Calibri" w:hAnsi="Calibri" w:cs="Calibri"/>
        </w:rPr>
      </w:pPr>
    </w:p>
    <w:p w14:paraId="7AEEAA1E"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in regards to their physical health. </w:t>
      </w:r>
    </w:p>
    <w:p w14:paraId="31013989" w14:textId="77777777" w:rsidR="008A0B6E" w:rsidRPr="008A0B6E" w:rsidRDefault="008A0B6E" w:rsidP="008A0B6E">
      <w:pPr>
        <w:tabs>
          <w:tab w:val="left" w:pos="951"/>
        </w:tabs>
        <w:spacing w:before="120" w:after="200"/>
        <w:contextualSpacing/>
        <w:jc w:val="both"/>
        <w:rPr>
          <w:rFonts w:ascii="Calibri" w:hAnsi="Calibri" w:cs="Calibri"/>
        </w:rPr>
      </w:pPr>
    </w:p>
    <w:p w14:paraId="17090155"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Personal hygiene is supported in children of all ages, explaining the reasons for hand washing, tooth brushing and other routines. </w:t>
      </w:r>
    </w:p>
    <w:p w14:paraId="4F84D512" w14:textId="77777777" w:rsidR="008A0B6E" w:rsidRPr="008A0B6E" w:rsidRDefault="008A0B6E" w:rsidP="008A0B6E">
      <w:pPr>
        <w:tabs>
          <w:tab w:val="left" w:pos="951"/>
        </w:tabs>
        <w:spacing w:before="120" w:after="200"/>
        <w:contextualSpacing/>
        <w:jc w:val="both"/>
        <w:rPr>
          <w:rFonts w:ascii="Calibri" w:hAnsi="Calibri" w:cs="Calibri"/>
        </w:rPr>
      </w:pPr>
    </w:p>
    <w:p w14:paraId="35EF0069"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in order to support their social well-being. We offer opportunities and resources for children to play singly, in pairs, small groups and large groups to support this area of development. </w:t>
      </w:r>
    </w:p>
    <w:p w14:paraId="2CEF9310" w14:textId="77777777" w:rsidR="008A0B6E" w:rsidRPr="008A0B6E" w:rsidRDefault="008A0B6E" w:rsidP="008A0B6E">
      <w:pPr>
        <w:tabs>
          <w:tab w:val="left" w:pos="951"/>
        </w:tabs>
        <w:spacing w:before="120" w:after="200"/>
        <w:contextualSpacing/>
        <w:jc w:val="both"/>
        <w:rPr>
          <w:rFonts w:ascii="Calibri" w:hAnsi="Calibri" w:cs="Calibri"/>
        </w:rPr>
      </w:pPr>
    </w:p>
    <w:p w14:paraId="7DE99B42"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lastRenderedPageBreak/>
        <w:t xml:space="preserve">Children’s mental and emotional well-being are supported. We provide a safe environment that allows for caregiver to child co-regulation. This practice supports the process of children building the capacity for self-regulation, through providing activities in which children are able to recognise and express their emotions, including emotional literacy. This enables us to provide support for children who may be experiencing big emotions they cannot cope with just yet, including sadness and over-excitement. We support children’s developing self-regulation through carefully planned activities and resources, modelling calming strategies, naming and talking about feelings and by providing opportunities for children to practise their self-regulation skills. </w:t>
      </w:r>
    </w:p>
    <w:p w14:paraId="05F63A00" w14:textId="77777777" w:rsidR="008A0B6E" w:rsidRPr="008A0B6E" w:rsidRDefault="008A0B6E" w:rsidP="008A0B6E">
      <w:pPr>
        <w:tabs>
          <w:tab w:val="left" w:pos="951"/>
        </w:tabs>
        <w:spacing w:before="120" w:after="200"/>
        <w:contextualSpacing/>
        <w:jc w:val="both"/>
        <w:rPr>
          <w:rFonts w:ascii="Calibri" w:hAnsi="Calibri" w:cs="Calibri"/>
        </w:rPr>
      </w:pPr>
    </w:p>
    <w:p w14:paraId="521BD1C3"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 xml:space="preserve">Staff use the Promoting positive behaviour policy to ensure a consistent approach. </w:t>
      </w:r>
    </w:p>
    <w:p w14:paraId="104B15C9" w14:textId="77777777" w:rsidR="008A0B6E" w:rsidRPr="008A0B6E" w:rsidRDefault="008A0B6E" w:rsidP="008A0B6E">
      <w:pPr>
        <w:tabs>
          <w:tab w:val="left" w:pos="951"/>
        </w:tabs>
        <w:spacing w:before="120" w:after="200"/>
        <w:contextualSpacing/>
        <w:jc w:val="both"/>
        <w:rPr>
          <w:rFonts w:ascii="Calibri" w:hAnsi="Calibri" w:cs="Calibri"/>
        </w:rPr>
      </w:pPr>
    </w:p>
    <w:p w14:paraId="2B8F81BC" w14:textId="77777777" w:rsidR="008A0B6E" w:rsidRPr="008A0B6E" w:rsidRDefault="008A0B6E" w:rsidP="008A0B6E">
      <w:pPr>
        <w:tabs>
          <w:tab w:val="left" w:pos="951"/>
        </w:tabs>
        <w:spacing w:before="120" w:after="200"/>
        <w:contextualSpacing/>
        <w:jc w:val="both"/>
        <w:rPr>
          <w:rFonts w:ascii="Calibri" w:hAnsi="Calibri" w:cs="Calibri"/>
        </w:rPr>
      </w:pPr>
      <w:r w:rsidRPr="008A0B6E">
        <w:rPr>
          <w:rFonts w:ascii="Calibri" w:hAnsi="Calibri" w:cs="Calibri"/>
        </w:rPr>
        <w:t>Staff are able to recognise when a child may need support with their emotions and will provide this one-to-one or in a small group, whichever is more appropriate. Teaching children to recognise and manage their emotions at a young age helps support foundations for doing this throughout their life.</w:t>
      </w:r>
    </w:p>
    <w:p w14:paraId="3B70C83D" w14:textId="77777777" w:rsidR="008A0B6E" w:rsidRPr="008A0B6E" w:rsidRDefault="008A0B6E" w:rsidP="008A0B6E">
      <w:pPr>
        <w:jc w:val="both"/>
        <w:rPr>
          <w:rFonts w:ascii="Calibri" w:hAnsi="Calibri" w:cs="Calibri"/>
        </w:rPr>
      </w:pPr>
    </w:p>
    <w:p w14:paraId="70BE95D0" w14:textId="77777777" w:rsidR="008A0B6E" w:rsidRPr="008A0B6E" w:rsidRDefault="008A0B6E" w:rsidP="008A0B6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A0B6E" w:rsidRPr="008A0B6E" w14:paraId="659AF0C6" w14:textId="77777777" w:rsidTr="00A434EE">
        <w:trPr>
          <w:jc w:val="center"/>
        </w:trPr>
        <w:tc>
          <w:tcPr>
            <w:tcW w:w="2943" w:type="dxa"/>
            <w:tcBorders>
              <w:top w:val="single" w:sz="4" w:space="0" w:color="000000"/>
            </w:tcBorders>
            <w:vAlign w:val="center"/>
          </w:tcPr>
          <w:p w14:paraId="5A863B9B" w14:textId="77777777" w:rsidR="008A0B6E" w:rsidRPr="008A0B6E" w:rsidRDefault="008A0B6E" w:rsidP="008A0B6E">
            <w:pPr>
              <w:jc w:val="both"/>
              <w:rPr>
                <w:rFonts w:ascii="Calibri" w:eastAsia="Calibri" w:hAnsi="Calibri" w:cs="Calibri"/>
                <w:sz w:val="22"/>
                <w:szCs w:val="22"/>
              </w:rPr>
            </w:pPr>
            <w:r w:rsidRPr="008A0B6E">
              <w:rPr>
                <w:rFonts w:ascii="Calibri" w:eastAsia="Arial" w:hAnsi="Calibri" w:cs="Calibri"/>
                <w:b/>
                <w:sz w:val="20"/>
                <w:szCs w:val="20"/>
              </w:rPr>
              <w:t>This policy was adopted on</w:t>
            </w:r>
          </w:p>
        </w:tc>
        <w:tc>
          <w:tcPr>
            <w:tcW w:w="3408" w:type="dxa"/>
            <w:tcBorders>
              <w:top w:val="single" w:sz="4" w:space="0" w:color="000000"/>
            </w:tcBorders>
            <w:vAlign w:val="center"/>
          </w:tcPr>
          <w:p w14:paraId="6AA98AA3" w14:textId="77777777" w:rsidR="008A0B6E" w:rsidRPr="008A0B6E" w:rsidRDefault="008A0B6E" w:rsidP="008A0B6E">
            <w:pPr>
              <w:jc w:val="both"/>
              <w:rPr>
                <w:rFonts w:ascii="Calibri" w:eastAsia="Calibri" w:hAnsi="Calibri" w:cs="Calibri"/>
                <w:sz w:val="22"/>
                <w:szCs w:val="22"/>
              </w:rPr>
            </w:pPr>
            <w:r w:rsidRPr="008A0B6E">
              <w:rPr>
                <w:rFonts w:ascii="Calibri" w:eastAsia="Arial" w:hAnsi="Calibri" w:cs="Calibri"/>
                <w:b/>
                <w:sz w:val="20"/>
                <w:szCs w:val="20"/>
              </w:rPr>
              <w:t>Signed on behalf of the nursery</w:t>
            </w:r>
          </w:p>
        </w:tc>
        <w:tc>
          <w:tcPr>
            <w:tcW w:w="2754" w:type="dxa"/>
            <w:tcBorders>
              <w:top w:val="single" w:sz="4" w:space="0" w:color="000000"/>
            </w:tcBorders>
            <w:vAlign w:val="center"/>
          </w:tcPr>
          <w:p w14:paraId="05388D8C" w14:textId="77777777" w:rsidR="008A0B6E" w:rsidRPr="008A0B6E" w:rsidRDefault="008A0B6E" w:rsidP="008A0B6E">
            <w:pPr>
              <w:jc w:val="both"/>
              <w:rPr>
                <w:rFonts w:ascii="Calibri" w:eastAsia="Calibri" w:hAnsi="Calibri" w:cs="Calibri"/>
                <w:sz w:val="22"/>
                <w:szCs w:val="22"/>
              </w:rPr>
            </w:pPr>
            <w:r w:rsidRPr="008A0B6E">
              <w:rPr>
                <w:rFonts w:ascii="Calibri" w:eastAsia="Arial" w:hAnsi="Calibri" w:cs="Calibri"/>
                <w:b/>
                <w:sz w:val="20"/>
                <w:szCs w:val="20"/>
              </w:rPr>
              <w:t>Date for review</w:t>
            </w:r>
          </w:p>
        </w:tc>
      </w:tr>
      <w:tr w:rsidR="008A0B6E" w:rsidRPr="008A0B6E" w14:paraId="4FC8C667" w14:textId="77777777" w:rsidTr="00A434EE">
        <w:trPr>
          <w:jc w:val="center"/>
        </w:trPr>
        <w:tc>
          <w:tcPr>
            <w:tcW w:w="2943" w:type="dxa"/>
            <w:vAlign w:val="center"/>
          </w:tcPr>
          <w:p w14:paraId="0413CF9F" w14:textId="273F691B" w:rsidR="008A0B6E" w:rsidRPr="008A0B6E" w:rsidRDefault="0049013C" w:rsidP="008A0B6E">
            <w:pPr>
              <w:jc w:val="both"/>
              <w:rPr>
                <w:rFonts w:ascii="Calibri" w:eastAsia="Calibri" w:hAnsi="Calibri" w:cs="Calibri"/>
                <w:sz w:val="22"/>
                <w:szCs w:val="22"/>
              </w:rPr>
            </w:pPr>
            <w:r>
              <w:rPr>
                <w:rFonts w:ascii="Calibri" w:eastAsia="Arial" w:hAnsi="Calibri" w:cs="Calibri"/>
                <w:i/>
                <w:sz w:val="20"/>
                <w:szCs w:val="20"/>
              </w:rPr>
              <w:t>August 202</w:t>
            </w:r>
            <w:r w:rsidR="003D4F03">
              <w:rPr>
                <w:rFonts w:ascii="Calibri" w:eastAsia="Arial" w:hAnsi="Calibri" w:cs="Calibri"/>
                <w:i/>
                <w:sz w:val="20"/>
                <w:szCs w:val="20"/>
              </w:rPr>
              <w:t>6</w:t>
            </w:r>
          </w:p>
        </w:tc>
        <w:tc>
          <w:tcPr>
            <w:tcW w:w="3408" w:type="dxa"/>
          </w:tcPr>
          <w:p w14:paraId="0710CBA0" w14:textId="3D90829A" w:rsidR="008A0B6E" w:rsidRPr="008A0B6E" w:rsidRDefault="0049013C" w:rsidP="008A0B6E">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2A6069D4" w14:textId="65C42B75" w:rsidR="008A0B6E" w:rsidRPr="008A0B6E" w:rsidRDefault="0049013C" w:rsidP="008A0B6E">
            <w:pPr>
              <w:jc w:val="both"/>
              <w:rPr>
                <w:rFonts w:ascii="Calibri" w:eastAsia="Calibri" w:hAnsi="Calibri" w:cs="Calibri"/>
                <w:sz w:val="22"/>
                <w:szCs w:val="22"/>
              </w:rPr>
            </w:pPr>
            <w:r>
              <w:rPr>
                <w:rFonts w:ascii="Calibri" w:eastAsia="Arial" w:hAnsi="Calibri" w:cs="Calibri"/>
                <w:i/>
                <w:sz w:val="20"/>
                <w:szCs w:val="20"/>
              </w:rPr>
              <w:t>August 202</w:t>
            </w:r>
            <w:r w:rsidR="003D4F03">
              <w:rPr>
                <w:rFonts w:ascii="Calibri" w:eastAsia="Arial" w:hAnsi="Calibri" w:cs="Calibri"/>
                <w:i/>
                <w:sz w:val="20"/>
                <w:szCs w:val="20"/>
              </w:rPr>
              <w:t>7</w:t>
            </w:r>
          </w:p>
        </w:tc>
      </w:tr>
    </w:tbl>
    <w:p w14:paraId="647035D5" w14:textId="77777777" w:rsidR="008A0B6E" w:rsidRPr="008A0B6E" w:rsidRDefault="008A0B6E" w:rsidP="008A0B6E">
      <w:pPr>
        <w:jc w:val="both"/>
        <w:rPr>
          <w:rFonts w:ascii="Calibri" w:hAnsi="Calibri" w:cs="Calibri"/>
        </w:rPr>
      </w:pPr>
    </w:p>
    <w:p w14:paraId="3FCE131B" w14:textId="77777777" w:rsidR="008A0B6E" w:rsidRPr="008A0B6E" w:rsidRDefault="008A0B6E" w:rsidP="008A0B6E">
      <w:pPr>
        <w:jc w:val="both"/>
        <w:rPr>
          <w:rFonts w:ascii="Calibri" w:hAnsi="Calibri" w:cs="Calibri"/>
        </w:rPr>
      </w:pPr>
    </w:p>
    <w:bookmarkEnd w:id="1"/>
    <w:p w14:paraId="7F63694A" w14:textId="77777777" w:rsidR="002E2EA5" w:rsidRPr="008A0B6E" w:rsidRDefault="002E2EA5" w:rsidP="008A0B6E"/>
    <w:sectPr w:rsidR="002E2EA5" w:rsidRPr="008A0B6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968F6" w14:textId="77777777" w:rsidR="005F5DF6" w:rsidRDefault="005F5DF6" w:rsidP="007A3117">
      <w:r>
        <w:separator/>
      </w:r>
    </w:p>
  </w:endnote>
  <w:endnote w:type="continuationSeparator" w:id="0">
    <w:p w14:paraId="152FE4E5" w14:textId="77777777" w:rsidR="005F5DF6" w:rsidRDefault="005F5DF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5F7B4E8" w14:textId="77777777" w:rsidR="0049013C" w:rsidRPr="00582814" w:rsidRDefault="0049013C" w:rsidP="0049013C">
                              <w:pPr>
                                <w:rPr>
                                  <w:i/>
                                  <w:iCs/>
                                </w:rPr>
                              </w:pPr>
                              <w:r w:rsidRPr="00582814">
                                <w:rPr>
                                  <w:rFonts w:ascii="Calibri" w:hAnsi="Calibri"/>
                                  <w:i/>
                                  <w:iCs/>
                                </w:rPr>
                                <w:t>Happy Kid’s Face policies and procedures</w:t>
                              </w:r>
                            </w:p>
                            <w:p w14:paraId="2535ECD7" w14:textId="4A923492"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5F7B4E8" w14:textId="77777777" w:rsidR="0049013C" w:rsidRPr="00582814" w:rsidRDefault="0049013C" w:rsidP="0049013C">
                        <w:pPr>
                          <w:rPr>
                            <w:i/>
                            <w:iCs/>
                          </w:rPr>
                        </w:pPr>
                        <w:r w:rsidRPr="00582814">
                          <w:rPr>
                            <w:rFonts w:ascii="Calibri" w:hAnsi="Calibri"/>
                            <w:i/>
                            <w:iCs/>
                          </w:rPr>
                          <w:t>Happy Kid’s Face policies and procedures</w:t>
                        </w:r>
                      </w:p>
                      <w:p w14:paraId="2535ECD7" w14:textId="4A923492"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0E0CE" w14:textId="77777777" w:rsidR="005F5DF6" w:rsidRDefault="005F5DF6" w:rsidP="007A3117">
      <w:r>
        <w:separator/>
      </w:r>
    </w:p>
  </w:footnote>
  <w:footnote w:type="continuationSeparator" w:id="0">
    <w:p w14:paraId="2E1F60AF" w14:textId="77777777" w:rsidR="005F5DF6" w:rsidRDefault="005F5DF6"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1"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0"/>
  </w:num>
  <w:num w:numId="2" w16cid:durableId="1320578242">
    <w:abstractNumId w:val="14"/>
  </w:num>
  <w:num w:numId="3" w16cid:durableId="202791712">
    <w:abstractNumId w:val="4"/>
  </w:num>
  <w:num w:numId="4" w16cid:durableId="627320785">
    <w:abstractNumId w:val="25"/>
  </w:num>
  <w:num w:numId="5" w16cid:durableId="1238898450">
    <w:abstractNumId w:val="22"/>
  </w:num>
  <w:num w:numId="6" w16cid:durableId="1497301833">
    <w:abstractNumId w:val="28"/>
  </w:num>
  <w:num w:numId="7" w16cid:durableId="1255361624">
    <w:abstractNumId w:val="16"/>
  </w:num>
  <w:num w:numId="8" w16cid:durableId="286156808">
    <w:abstractNumId w:val="19"/>
  </w:num>
  <w:num w:numId="9" w16cid:durableId="4832834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8"/>
  </w:num>
  <w:num w:numId="11" w16cid:durableId="1473132940">
    <w:abstractNumId w:val="24"/>
  </w:num>
  <w:num w:numId="12" w16cid:durableId="1616674698">
    <w:abstractNumId w:val="10"/>
  </w:num>
  <w:num w:numId="13" w16cid:durableId="1138575293">
    <w:abstractNumId w:val="3"/>
  </w:num>
  <w:num w:numId="14" w16cid:durableId="190732337">
    <w:abstractNumId w:val="12"/>
  </w:num>
  <w:num w:numId="15" w16cid:durableId="984163460">
    <w:abstractNumId w:val="6"/>
  </w:num>
  <w:num w:numId="16" w16cid:durableId="1015958116">
    <w:abstractNumId w:val="13"/>
  </w:num>
  <w:num w:numId="17" w16cid:durableId="1210149385">
    <w:abstractNumId w:val="11"/>
  </w:num>
  <w:num w:numId="18" w16cid:durableId="1857184508">
    <w:abstractNumId w:val="2"/>
  </w:num>
  <w:num w:numId="19" w16cid:durableId="2106655338">
    <w:abstractNumId w:val="15"/>
  </w:num>
  <w:num w:numId="20" w16cid:durableId="1253776703">
    <w:abstractNumId w:val="23"/>
  </w:num>
  <w:num w:numId="21" w16cid:durableId="1202207262">
    <w:abstractNumId w:val="0"/>
  </w:num>
  <w:num w:numId="22" w16cid:durableId="1063333142">
    <w:abstractNumId w:val="26"/>
  </w:num>
  <w:num w:numId="23" w16cid:durableId="1651247441">
    <w:abstractNumId w:val="21"/>
  </w:num>
  <w:num w:numId="24" w16cid:durableId="1523934581">
    <w:abstractNumId w:val="17"/>
  </w:num>
  <w:num w:numId="25" w16cid:durableId="1795517868">
    <w:abstractNumId w:val="27"/>
  </w:num>
  <w:num w:numId="26" w16cid:durableId="196092617">
    <w:abstractNumId w:val="9"/>
  </w:num>
  <w:num w:numId="27" w16cid:durableId="1732920374">
    <w:abstractNumId w:val="5"/>
  </w:num>
  <w:num w:numId="28" w16cid:durableId="1334986755">
    <w:abstractNumId w:val="1"/>
  </w:num>
  <w:num w:numId="29" w16cid:durableId="23628189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F4D"/>
    <w:rsid w:val="00046AA6"/>
    <w:rsid w:val="00057ADF"/>
    <w:rsid w:val="00085CFF"/>
    <w:rsid w:val="000B0893"/>
    <w:rsid w:val="000B38A4"/>
    <w:rsid w:val="000C4B3D"/>
    <w:rsid w:val="000D655C"/>
    <w:rsid w:val="000F24E0"/>
    <w:rsid w:val="00147B8F"/>
    <w:rsid w:val="00155E21"/>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D4F03"/>
    <w:rsid w:val="003E1BE0"/>
    <w:rsid w:val="003E4182"/>
    <w:rsid w:val="003E710E"/>
    <w:rsid w:val="0049013C"/>
    <w:rsid w:val="004A31F3"/>
    <w:rsid w:val="004A6E02"/>
    <w:rsid w:val="004B398A"/>
    <w:rsid w:val="004B4CC3"/>
    <w:rsid w:val="004C2485"/>
    <w:rsid w:val="004D7839"/>
    <w:rsid w:val="004E6ABD"/>
    <w:rsid w:val="004F1E56"/>
    <w:rsid w:val="00506FD6"/>
    <w:rsid w:val="00551C2B"/>
    <w:rsid w:val="00570BF3"/>
    <w:rsid w:val="00595E24"/>
    <w:rsid w:val="005A3617"/>
    <w:rsid w:val="005B64D1"/>
    <w:rsid w:val="005D5D3B"/>
    <w:rsid w:val="005E1A00"/>
    <w:rsid w:val="005F5DF6"/>
    <w:rsid w:val="00604E3E"/>
    <w:rsid w:val="006208D0"/>
    <w:rsid w:val="00626A40"/>
    <w:rsid w:val="00636838"/>
    <w:rsid w:val="00656311"/>
    <w:rsid w:val="00660ED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54421"/>
    <w:rsid w:val="008A0B6E"/>
    <w:rsid w:val="008F1777"/>
    <w:rsid w:val="00946403"/>
    <w:rsid w:val="00951F24"/>
    <w:rsid w:val="00985CDE"/>
    <w:rsid w:val="00996192"/>
    <w:rsid w:val="00996509"/>
    <w:rsid w:val="009B30E1"/>
    <w:rsid w:val="009B70A8"/>
    <w:rsid w:val="009D6487"/>
    <w:rsid w:val="009E045C"/>
    <w:rsid w:val="009E0B56"/>
    <w:rsid w:val="00A03E1F"/>
    <w:rsid w:val="00AF6EE9"/>
    <w:rsid w:val="00B63AD2"/>
    <w:rsid w:val="00B65583"/>
    <w:rsid w:val="00B6670C"/>
    <w:rsid w:val="00BA028D"/>
    <w:rsid w:val="00C128FC"/>
    <w:rsid w:val="00C21D30"/>
    <w:rsid w:val="00C535CF"/>
    <w:rsid w:val="00C821B8"/>
    <w:rsid w:val="00CE007F"/>
    <w:rsid w:val="00CF1B0F"/>
    <w:rsid w:val="00D0012B"/>
    <w:rsid w:val="00D033D0"/>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2026-08-02T08:33:00Z</dcterms:created>
  <dcterms:modified xsi:type="dcterms:W3CDTF">2026-08-02T08:33:00Z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